
<file path=[Content_Types].xml><?xml version="1.0" encoding="utf-8"?>
<Types xmlns="http://schemas.openxmlformats.org/package/2006/content-types">
  <Default Extension="xml" ContentType="application/xml"/>
  <Default Extension="jpeg" ContentType="image/jpeg"/>
  <Default Extension="wmf" ContentType="image/x-wmf"/>
  <Default Extension="png" ContentType="image/png"/>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op w:val="none" w:color="000000" w:sz="4" w:space="0"/>
          <w:left w:val="none" w:color="000000" w:sz="4" w:space="0"/>
          <w:bottom w:val="none" w:color="000000" w:sz="4" w:space="0"/>
          <w:right w:val="none" w:color="000000" w:sz="4" w:space="0"/>
        </w:pBdr>
        <w:spacing/>
        <w:ind w:right="0" w:firstLine="0" w:left="0"/>
        <w:rPr/>
      </w:pPr>
      <w:r>
        <w:rPr>
          <w:rFonts w:ascii="Arial" w:hAnsi="Arial" w:eastAsia="Arial" w:cs="Arial"/>
          <w:color w:val="000000"/>
          <w:sz w:val="24"/>
        </w:rPr>
        <w:t xml:space="preserve">AI has provided a misleading answer again. Fortunately, I recognised the error and challenged it.... I attached an excerpt from one of Harwood's papers:</w:t>
        <w:br/>
        <w:br/>
        <w:t xml:space="preserve">AI analysed and replied:</w:t>
        <w:br/>
        <w:br/>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i/>
          <w:color w:val="000000"/>
          <w:sz w:val="24"/>
        </w:rPr>
        <w:t xml:space="preserve">The excerpt you shared dives into a nuanced but critical aspect of microphone and amplifier design: </w:t>
      </w:r>
      <w:r>
        <w:rPr>
          <w:rFonts w:ascii="Arial" w:hAnsi="Arial" w:eastAsia="Arial" w:cs="Arial"/>
          <w:b/>
          <w:i/>
          <w:color w:val="000000"/>
          <w:sz w:val="24"/>
        </w:rPr>
        <w:t xml:space="preserve">optimum axial frequency response</w:t>
      </w:r>
      <w:r>
        <w:rPr>
          <w:rFonts w:ascii="Arial" w:hAnsi="Arial" w:eastAsia="Arial" w:cs="Arial"/>
          <w:i/>
          <w:color w:val="000000"/>
          <w:sz w:val="24"/>
        </w:rPr>
        <w:t xml:space="preserve">. This concept is especially vital in high-fidelity audio reproduction, where the goal is to preserve the integrity of sound as it was originally recorded—whether in a studio or a concert hall.</w:t>
      </w: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600"/>
        <w:rPr/>
      </w:pPr>
      <w:r>
        <mc:AlternateContent>
          <mc:Choice Requires="wpg">
            <w:drawing>
              <wp:inline xmlns:wp="http://schemas.openxmlformats.org/drawingml/2006/wordprocessingDrawing" distT="0" distB="0" distL="0" distR="0">
                <wp:extent cx="609600" cy="6096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902387" name=""/>
                        <pic:cNvPicPr>
                          <a:picLocks noChangeAspect="1"/>
                        </pic:cNvPicPr>
                        <pic:nvPr/>
                      </pic:nvPicPr>
                      <pic:blipFill>
                        <a:blip r:embed="rId9"/>
                        <a:stretch/>
                      </pic:blipFill>
                      <pic:spPr bwMode="auto">
                        <a:xfrm>
                          <a:off x="0" y="0"/>
                          <a:ext cx="609599" cy="60959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48.00pt;height:48.00pt;mso-wrap-distance-left:0.00pt;mso-wrap-distance-top:0.00pt;mso-wrap-distance-right:0.00pt;mso-wrap-distance-bottom:0.00pt;z-index:1;" stroked="false">
                <v:imagedata r:id="rId9" o:title=""/>
                <o:lock v:ext="edit" rotation="t"/>
              </v:shape>
            </w:pict>
          </mc:Fallback>
        </mc:AlternateContent>
      </w:r>
      <w:r>
        <w:rPr>
          <w:rFonts w:ascii="Arial" w:hAnsi="Arial" w:eastAsia="Arial" w:cs="Arial"/>
          <w:i/>
          <w:color w:val="000000"/>
          <w:sz w:val="24"/>
        </w:rPr>
        <w:t xml:space="preserve"> Key Points from the Excerpt</w:t>
      </w:r>
      <w:r>
        <w:rPr>
          <w:rFonts w:ascii="Arial" w:hAnsi="Arial" w:eastAsia="Arial" w:cs="Arial"/>
          <w:color w:val="000000"/>
          <w:sz w:val="24"/>
        </w:rPr>
        <w:t xml:space="preserve">​</w:t>
      </w:r>
      <w:r/>
    </w:p>
    <w:p>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Arial" w:hAnsi="Arial" w:eastAsia="Arial" w:cs="Arial"/>
          <w:b/>
          <w:i/>
          <w:color w:val="000000"/>
          <w:sz w:val="24"/>
        </w:rPr>
        <w:t xml:space="preserve">Uniform axial frequency response</w:t>
      </w:r>
      <w:r>
        <w:rPr>
          <w:rFonts w:ascii="Arial" w:hAnsi="Arial" w:eastAsia="Arial" w:cs="Arial"/>
          <w:i/>
          <w:color w:val="000000"/>
          <w:sz w:val="24"/>
        </w:rPr>
        <w:t xml:space="preserve"> ensures that the sound captured and reproduced maintains its original character.</w:t>
      </w:r>
      <w:r/>
    </w:p>
    <w:p>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Arial" w:hAnsi="Arial" w:eastAsia="Arial" w:cs="Arial"/>
          <w:i/>
          <w:color w:val="000000"/>
          <w:sz w:val="24"/>
        </w:rPr>
        <w:t xml:space="preserve">This is particularly important in </w:t>
      </w:r>
      <w:r>
        <w:rPr>
          <w:rFonts w:ascii="Arial" w:hAnsi="Arial" w:eastAsia="Arial" w:cs="Arial"/>
          <w:b/>
          <w:i/>
          <w:color w:val="000000"/>
          <w:sz w:val="24"/>
        </w:rPr>
        <w:t xml:space="preserve">stereo recordings</w:t>
      </w:r>
      <w:r>
        <w:rPr>
          <w:rFonts w:ascii="Arial" w:hAnsi="Arial" w:eastAsia="Arial" w:cs="Arial"/>
          <w:i/>
          <w:color w:val="000000"/>
          <w:sz w:val="24"/>
        </w:rPr>
        <w:t xml:space="preserve">, where spatial accuracy and tonal balance are essential.</w:t>
      </w:r>
      <w:r/>
    </w:p>
    <w:p>
      <w:pPr>
        <w:pStyle w:val="668"/>
        <w:numPr>
          <w:ilvl w:val="0"/>
          <w:numId w:val="1"/>
        </w:numPr>
        <w:pBdr>
          <w:top w:val="none" w:color="000000" w:sz="4" w:space="0"/>
          <w:left w:val="none" w:color="000000" w:sz="4" w:space="0"/>
          <w:bottom w:val="none" w:color="000000" w:sz="4" w:space="0"/>
          <w:right w:val="none" w:color="000000" w:sz="4" w:space="0"/>
        </w:pBdr>
        <w:spacing/>
        <w:ind w:right="0"/>
        <w:rPr/>
      </w:pPr>
      <w:r>
        <w:rPr>
          <w:rFonts w:ascii="Arial" w:hAnsi="Arial" w:eastAsia="Arial" w:cs="Arial"/>
          <w:i/>
          <w:color w:val="000000"/>
          <w:sz w:val="24"/>
        </w:rPr>
        <w:t xml:space="preserve">A deviation of up to </w:t>
      </w:r>
      <w:r>
        <w:rPr>
          <w:rFonts w:ascii="Arial" w:hAnsi="Arial" w:eastAsia="Arial" w:cs="Arial"/>
          <w:b/>
          <w:i/>
          <w:color w:val="000000"/>
          <w:sz w:val="24"/>
        </w:rPr>
        <w:t xml:space="preserve">2dB in the 1–3kHz range</w:t>
      </w:r>
      <w:r>
        <w:rPr>
          <w:rFonts w:ascii="Arial" w:hAnsi="Arial" w:eastAsia="Arial" w:cs="Arial"/>
          <w:i/>
          <w:color w:val="000000"/>
          <w:sz w:val="24"/>
        </w:rPr>
        <w:t xml:space="preserve"> is considered acceptable, as it doesn’t significantly distort the perceived orchestral perspective.</w:t>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b/>
          <w:i/>
          <w:color w:val="b8312f"/>
          <w:sz w:val="24"/>
        </w:rPr>
        <w:t xml:space="preserve">This aligns with principles in psychoacoustics, where small frequency deviations in the midrange (1–3kHz) are less perceptible to the human ear </w:t>
      </w:r>
      <w:r>
        <w:rPr>
          <w:rFonts w:ascii="Arial" w:hAnsi="Arial" w:eastAsia="Arial" w:cs="Arial"/>
          <w:b/>
          <w:color w:val="2969b0"/>
          <w:sz w:val="24"/>
        </w:rPr>
        <w:t xml:space="preserve">[AS emphasis; factually the opposite is true - refer to ISO226*]</w:t>
      </w:r>
      <w:r>
        <w:rPr>
          <w:rFonts w:ascii="Arial" w:hAnsi="Arial" w:eastAsia="Arial" w:cs="Arial"/>
          <w:color w:val="2969b0"/>
          <w:sz w:val="24"/>
        </w:rPr>
        <w:t xml:space="preserve"> </w:t>
      </w:r>
      <w:r>
        <w:rPr>
          <w:rFonts w:ascii="Arial" w:hAnsi="Arial" w:eastAsia="Arial" w:cs="Arial"/>
          <w:i/>
          <w:color w:val="000000"/>
          <w:sz w:val="24"/>
        </w:rPr>
        <w:t xml:space="preserve">but can still influence the emotional and spatial feel of music.</w:t>
      </w: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600"/>
        <w:rPr/>
      </w:pPr>
      <w:r>
        <mc:AlternateContent>
          <mc:Choice Requires="wpg">
            <w:drawing>
              <wp:inline xmlns:wp="http://schemas.openxmlformats.org/drawingml/2006/wordprocessingDrawing" distT="0" distB="0" distL="0" distR="0">
                <wp:extent cx="609600" cy="6096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853905" name=""/>
                        <pic:cNvPicPr>
                          <a:picLocks noChangeAspect="1"/>
                        </pic:cNvPicPr>
                        <pic:nvPr/>
                      </pic:nvPicPr>
                      <pic:blipFill>
                        <a:blip r:embed="rId10"/>
                        <a:stretch/>
                      </pic:blipFill>
                      <pic:spPr bwMode="auto">
                        <a:xfrm>
                          <a:off x="0" y="0"/>
                          <a:ext cx="609599" cy="60959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48.00pt;height:48.00pt;mso-wrap-distance-left:0.00pt;mso-wrap-distance-top:0.00pt;mso-wrap-distance-right:0.00pt;mso-wrap-distance-bottom:0.00pt;z-index:1;" stroked="false">
                <v:imagedata r:id="rId10" o:title=""/>
                <o:lock v:ext="edit" rotation="t"/>
              </v:shape>
            </w:pict>
          </mc:Fallback>
        </mc:AlternateContent>
      </w:r>
      <w:r>
        <w:rPr>
          <w:rFonts w:ascii="Arial" w:hAnsi="Arial" w:eastAsia="Arial" w:cs="Arial"/>
          <w:i/>
          <w:color w:val="000000"/>
          <w:sz w:val="24"/>
        </w:rPr>
        <w:t xml:space="preserve"> Additional Sources &amp; Research</w:t>
      </w: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i/>
          <w:color w:val="000000"/>
          <w:sz w:val="24"/>
        </w:rPr>
        <w:t xml:space="preserve">Here are some relevant and authoritative sources that expand on this topic:</w:t>
      </w:r>
      <w:r>
        <w:rPr>
          <w:rFonts w:ascii="Arial" w:hAnsi="Arial" w:eastAsia="Arial" w:cs="Arial"/>
          <w:color w:val="000000"/>
          <w:sz w:val="24"/>
        </w:rPr>
        <w:t xml:space="preserve">​</w:t>
      </w:r>
      <w:r/>
    </w:p>
    <w:p>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Arial" w:hAnsi="Arial" w:eastAsia="Arial" w:cs="Arial"/>
          <w:b/>
          <w:i/>
          <w:color w:val="000000"/>
          <w:sz w:val="24"/>
        </w:rPr>
        <w:t xml:space="preserve">AES (Audio Engineering Society) Papers</w:t>
      </w:r>
      <w:r>
        <w:rPr>
          <w:rFonts w:ascii="Arial" w:hAnsi="Arial" w:eastAsia="Arial" w:cs="Arial"/>
          <w:i/>
          <w:color w:val="000000"/>
          <w:sz w:val="24"/>
        </w:rPr>
        <w:t xml:space="preserve"> The AES publishes extensive research on microphone design and frequency response. Look for papers on axial response and stereo imaging in their AES E-Library.</w:t>
      </w:r>
      <w:r/>
    </w:p>
    <w:p>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Arial" w:hAnsi="Arial" w:eastAsia="Arial" w:cs="Arial"/>
          <w:b/>
          <w:i/>
          <w:color w:val="000000"/>
          <w:sz w:val="24"/>
        </w:rPr>
        <w:t xml:space="preserve">"Microphone Handbook" by John Eargle</w:t>
      </w:r>
      <w:r>
        <w:rPr>
          <w:rFonts w:ascii="Arial" w:hAnsi="Arial" w:eastAsia="Arial" w:cs="Arial"/>
          <w:i/>
          <w:color w:val="000000"/>
          <w:sz w:val="24"/>
        </w:rPr>
        <w:t xml:space="preserve"> A classic reference that covers microphone types, directional characteristics, and frequency response in detail. Eargle discusses how axial response affects stereo realism and tonal accuracy.</w:t>
      </w:r>
      <w:r/>
    </w:p>
    <w:p>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Arial" w:hAnsi="Arial" w:eastAsia="Arial" w:cs="Arial"/>
          <w:b/>
          <w:i/>
          <w:color w:val="000000"/>
          <w:sz w:val="24"/>
        </w:rPr>
        <w:t xml:space="preserve">ITU-R BS.1116-3 Recommendation</w:t>
      </w:r>
      <w:r>
        <w:rPr>
          <w:rFonts w:ascii="Arial" w:hAnsi="Arial" w:eastAsia="Arial" w:cs="Arial"/>
          <w:i/>
          <w:color w:val="000000"/>
          <w:sz w:val="24"/>
        </w:rPr>
        <w:t xml:space="preserve"> This international standard outlines criteria for evaluating the subjective quality of audio systems, including frequency response tolerances. It’s used in professional audio testing and broadcasting.</w:t>
      </w:r>
      <w:r/>
    </w:p>
    <w:p>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Arial" w:hAnsi="Arial" w:eastAsia="Arial" w:cs="Arial"/>
          <w:b/>
          <w:i/>
          <w:color w:val="000000"/>
          <w:sz w:val="24"/>
        </w:rPr>
        <w:t xml:space="preserve">DPA Microphones Technical Articles</w:t>
      </w:r>
      <w:r>
        <w:rPr>
          <w:rFonts w:ascii="Arial" w:hAnsi="Arial" w:eastAsia="Arial" w:cs="Arial"/>
          <w:i/>
          <w:color w:val="000000"/>
          <w:sz w:val="24"/>
        </w:rPr>
        <w:t xml:space="preserve"> DPA offers deep dives into microphone behavior, including axial and off-axis response. Their Knowledge Center is a goldmine for audio engineers.</w:t>
      </w:r>
      <w:r/>
    </w:p>
    <w:p>
      <w:pPr>
        <w:pStyle w:val="668"/>
        <w:numPr>
          <w:ilvl w:val="0"/>
          <w:numId w:val="2"/>
        </w:numPr>
        <w:pBdr>
          <w:top w:val="none" w:color="000000" w:sz="4" w:space="0"/>
          <w:left w:val="none" w:color="000000" w:sz="4" w:space="0"/>
          <w:bottom w:val="none" w:color="000000" w:sz="4" w:space="0"/>
          <w:right w:val="none" w:color="000000" w:sz="4" w:space="0"/>
        </w:pBdr>
        <w:spacing/>
        <w:ind w:right="0"/>
        <w:rPr/>
      </w:pPr>
      <w:r>
        <w:rPr>
          <w:rFonts w:ascii="Arial" w:hAnsi="Arial" w:eastAsia="Arial" w:cs="Arial"/>
          <w:b/>
          <w:i/>
          <w:color w:val="000000"/>
          <w:sz w:val="24"/>
        </w:rPr>
        <w:t xml:space="preserve">"Sound Reproduction: The Acoustics and Psychoacoustics of Loudspeakers and Rooms" by Floyd Toole</w:t>
      </w:r>
      <w:r>
        <w:rPr>
          <w:rFonts w:ascii="Arial" w:hAnsi="Arial" w:eastAsia="Arial" w:cs="Arial"/>
          <w:i/>
          <w:color w:val="000000"/>
          <w:sz w:val="24"/>
        </w:rPr>
        <w:t xml:space="preserve"> While focused on loudspeakers, Toole’s work is foundational in understanding how frequency response affects perceived sound quality in rooms—relevant to both microphones and playback systems.</w:t>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i/>
          <w:color w:val="000000"/>
          <w:sz w:val="24"/>
        </w:rPr>
        <w:t xml:space="preserve">Would you like to explore how different microphone polar patterns (like cardioid vs. omnidirectional) affect axial response next? Or maybe dive into how room acoustics interact with microphone placement?</w:t>
      </w: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0"/>
        <w:rPr/>
      </w:pPr>
      <w:r>
        <w:rPr>
          <w:rFonts w:ascii="Arial" w:hAnsi="Arial" w:eastAsia="Arial" w:cs="Arial"/>
          <w:b/>
          <w:color w:val="2969b0"/>
          <w:sz w:val="24"/>
        </w:rPr>
        <w:t xml:space="preserve">AS challenges AI: "Surely the ear is more sensitive around 3kHz, not less sensitive".</w:t>
        <w:br/>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i/>
          <w:color w:val="000000"/>
          <w:sz w:val="24"/>
        </w:rPr>
        <w:t xml:space="preserve">You're absolutely right—and great catch! </w:t>
        <mc:AlternateContent>
          <mc:Choice Requires="wpg">
            <w:drawing>
              <wp:inline xmlns:wp="http://schemas.openxmlformats.org/drawingml/2006/wordprocessingDrawing" distT="0" distB="0" distL="0" distR="0">
                <wp:extent cx="609600" cy="609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384992" name=""/>
                        <pic:cNvPicPr>
                          <a:picLocks noChangeAspect="1"/>
                        </pic:cNvPicPr>
                        <pic:nvPr/>
                      </pic:nvPicPr>
                      <pic:blipFill>
                        <a:blip r:embed="rId11"/>
                        <a:stretch/>
                      </pic:blipFill>
                      <pic:spPr bwMode="auto">
                        <a:xfrm>
                          <a:off x="0" y="0"/>
                          <a:ext cx="609599" cy="60959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8.00pt;height:48.00pt;mso-wrap-distance-left:0.00pt;mso-wrap-distance-top:0.00pt;mso-wrap-distance-right:0.00pt;mso-wrap-distance-bottom:0.00pt;z-index:1;" stroked="false">
                <v:imagedata r:id="rId11" o:title=""/>
                <o:lock v:ext="edit" rotation="t"/>
              </v:shape>
            </w:pict>
          </mc:Fallback>
        </mc:AlternateContent>
        <w:t xml:space="preserve"> The human ear is indeed </w:t>
      </w:r>
      <w:r>
        <w:rPr>
          <w:rFonts w:ascii="Arial" w:hAnsi="Arial" w:eastAsia="Arial" w:cs="Arial"/>
          <w:b/>
          <w:i/>
          <w:color w:val="000000"/>
          <w:sz w:val="24"/>
        </w:rPr>
        <w:t xml:space="preserve">most sensitive in the 2–5 kHz range</w:t>
      </w:r>
      <w:r>
        <w:rPr>
          <w:rFonts w:ascii="Arial" w:hAnsi="Arial" w:eastAsia="Arial" w:cs="Arial"/>
          <w:i/>
          <w:color w:val="000000"/>
          <w:sz w:val="24"/>
        </w:rPr>
        <w:t xml:space="preserve">, with a peak around </w:t>
      </w:r>
      <w:r>
        <w:rPr>
          <w:rFonts w:ascii="Arial" w:hAnsi="Arial" w:eastAsia="Arial" w:cs="Arial"/>
          <w:b/>
          <w:i/>
          <w:color w:val="000000"/>
          <w:sz w:val="24"/>
        </w:rPr>
        <w:t xml:space="preserve">3–4 kHz</w:t>
      </w:r>
      <w:r>
        <w:rPr>
          <w:rFonts w:ascii="Arial" w:hAnsi="Arial" w:eastAsia="Arial" w:cs="Arial"/>
          <w:i/>
          <w:color w:val="000000"/>
          <w:sz w:val="24"/>
        </w:rPr>
        <w:t xml:space="preserve">. This heightened sensitivity is due to the </w:t>
      </w:r>
      <w:r>
        <w:rPr>
          <w:rFonts w:ascii="Arial" w:hAnsi="Arial" w:eastAsia="Arial" w:cs="Arial"/>
          <w:b/>
          <w:i/>
          <w:color w:val="000000"/>
          <w:sz w:val="24"/>
        </w:rPr>
        <w:t xml:space="preserve">resonant frequency of the auditory canal</w:t>
      </w:r>
      <w:r>
        <w:rPr>
          <w:rFonts w:ascii="Arial" w:hAnsi="Arial" w:eastAsia="Arial" w:cs="Arial"/>
          <w:i/>
          <w:color w:val="000000"/>
          <w:sz w:val="24"/>
        </w:rPr>
        <w:t xml:space="preserve">, which naturally amplifies sounds in that region. It's also the range where many critical components of </w:t>
      </w:r>
      <w:r>
        <w:rPr>
          <w:rFonts w:ascii="Arial" w:hAnsi="Arial" w:eastAsia="Arial" w:cs="Arial"/>
          <w:b/>
          <w:i/>
          <w:color w:val="000000"/>
          <w:sz w:val="24"/>
        </w:rPr>
        <w:t xml:space="preserve">speech and music</w:t>
      </w:r>
      <w:r>
        <w:rPr>
          <w:rFonts w:ascii="Arial" w:hAnsi="Arial" w:eastAsia="Arial" w:cs="Arial"/>
          <w:i/>
          <w:color w:val="000000"/>
          <w:sz w:val="24"/>
        </w:rPr>
        <w:t xml:space="preserve"> reside, making it evolutionarily and functionally significant.</w:t>
      </w: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i/>
          <w:color w:val="000000"/>
          <w:sz w:val="24"/>
        </w:rPr>
        <w:t xml:space="preserve">So when the excerpt says that a </w:t>
      </w:r>
      <w:r>
        <w:rPr>
          <w:rFonts w:ascii="Arial" w:hAnsi="Arial" w:eastAsia="Arial" w:cs="Arial"/>
          <w:b/>
          <w:i/>
          <w:color w:val="000000"/>
          <w:sz w:val="24"/>
        </w:rPr>
        <w:t xml:space="preserve">2 dB deviation in the 1–3 kHz range is acceptable</w:t>
      </w:r>
      <w:r>
        <w:rPr>
          <w:rFonts w:ascii="Arial" w:hAnsi="Arial" w:eastAsia="Arial" w:cs="Arial"/>
          <w:i/>
          <w:color w:val="000000"/>
          <w:sz w:val="24"/>
        </w:rPr>
        <w:t xml:space="preserve">, it’s not because the ear is less sensitive there—it’s actually because the ear is </w:t>
      </w:r>
      <w:r>
        <w:rPr>
          <w:rFonts w:ascii="Arial" w:hAnsi="Arial" w:eastAsia="Arial" w:cs="Arial"/>
          <w:b/>
          <w:i/>
          <w:color w:val="000000"/>
          <w:sz w:val="24"/>
        </w:rPr>
        <w:t xml:space="preserve">so sensitive</w:t>
      </w:r>
      <w:r>
        <w:rPr>
          <w:rFonts w:ascii="Arial" w:hAnsi="Arial" w:eastAsia="Arial" w:cs="Arial"/>
          <w:i/>
          <w:color w:val="000000"/>
          <w:sz w:val="24"/>
        </w:rPr>
        <w:t xml:space="preserve"> that even small deviations can be noticeable, but still tolerable without distorting the perceived spatial and tonal character of the sound.</w:t>
      </w: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i/>
          <w:color w:val="000000"/>
          <w:sz w:val="24"/>
        </w:rPr>
        <w:t xml:space="preserve">This is why audio engineers are especially cautious with EQ and microphone response in that band—it’s where our ears are most discerning, and where even subtle changes can affect clarity, presence, and emotional impact.</w:t>
      </w: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600"/>
        <w:rPr/>
      </w:pPr>
      <w:r>
        <w:rPr>
          <w:rFonts w:ascii="Arial" w:hAnsi="Arial" w:eastAsia="Arial" w:cs="Arial"/>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0"/>
        <w:rPr/>
      </w:pPr>
      <w:r>
        <w:rPr>
          <w:rFonts w:ascii="Arial" w:hAnsi="Arial" w:eastAsia="Arial" w:cs="Arial"/>
          <w:color w:val="000000"/>
          <w:sz w:val="24"/>
        </w:rPr>
        <w:t xml:space="preserve">==============</w:t>
        <w:br/>
        <w:br/>
        <w:t xml:space="preserve">This reversal of facts is rather alarming I'd say.</w:t>
        <w:br/>
        <w:br/>
        <w:t xml:space="preserve">*</w:t>
      </w:r>
      <w:hyperlink r:id="rId12" w:tooltip="https://www.iso.org/standard/83117.html" w:history="1">
        <w:r>
          <w:rPr>
            <w:rStyle w:val="187"/>
            <w:rFonts w:ascii="Arial" w:hAnsi="Arial" w:eastAsia="Arial" w:cs="Arial"/>
            <w:color w:val="cc0000"/>
            <w:sz w:val="24"/>
            <w:u w:val="none"/>
          </w:rPr>
          <w:t xml:space="preserve">ISO 226</w:t>
        </w:r>
      </w:hyperlink>
      <w:r/>
      <w:r/>
    </w:p>
    <w:p>
      <w:pPr>
        <w:pBdr>
          <w:top w:val="none" w:color="000000" w:sz="4" w:space="0"/>
          <w:left w:val="none" w:color="000000" w:sz="4" w:space="0"/>
          <w:bottom w:val="none" w:color="000000" w:sz="4" w:space="0"/>
          <w:right w:val="none" w:color="000000" w:sz="4" w:space="0"/>
        </w:pBdr>
        <w:spacing/>
        <w:ind w:right="0" w:firstLine="0" w:left="0"/>
        <w:rPr/>
      </w:pPr>
      <w:r>
        <w:rPr>
          <w:rFonts w:ascii="Times" w:hAnsi="Times" w:eastAsia="Times" w:cs="Times"/>
          <w:color w:val="8a8a8a"/>
          <w:sz w:val="17"/>
        </w:rPr>
        <w:t xml:space="preserve">Alan Shaw</w:t>
        <w:br/>
      </w:r>
      <w:r>
        <w:rPr>
          <w:rFonts w:ascii="Times" w:hAnsi="Times" w:eastAsia="Times" w:cs="Times"/>
          <w:i/>
          <w:color w:val="8a8a8a"/>
          <w:sz w:val="17"/>
        </w:rPr>
        <w:t xml:space="preserve">Designer, owner</w:t>
        <w:br/>
      </w:r>
      <w:r>
        <w:rPr>
          <w:rFonts w:ascii="Times" w:hAnsi="Times" w:eastAsia="Times" w:cs="Times"/>
          <w:i/>
          <w:color w:val="8a8a8a"/>
          <w:sz w:val="17"/>
          <w:u w:val="single"/>
        </w:rPr>
        <w:t xml:space="preserve">Harbeth Audio UK</w:t>
      </w:r>
      <w:r/>
    </w:p>
    <w:p>
      <w:pPr>
        <w:pBdr>
          <w:top w:val="none" w:color="000000" w:sz="4" w:space="0"/>
          <w:left w:val="none" w:color="000000" w:sz="4" w:space="0"/>
          <w:bottom w:val="none" w:color="000000" w:sz="4" w:space="0"/>
          <w:right w:val="none" w:color="000000" w:sz="4" w:space="0"/>
        </w:pBdr>
        <w:spacing/>
        <w:ind w:right="0" w:firstLine="0" w:left="0"/>
        <w:rPr/>
      </w:pPr>
      <w:r>
        <w:br/>
      </w:r>
      <w:r/>
    </w:p>
    <w:p>
      <w:pPr>
        <w:pBdr/>
        <w:spacing/>
        <w:ind/>
        <w:rPr/>
      </w:pPr>
      <w:r/>
      <w:r/>
    </w:p>
    <w:sectPr>
      <w:footnotePr/>
      <w:endnotePr/>
      <w:type w:val="nextPage"/>
      <w:pgSz w:h="16838" w:orient="portrait" w:w="11906"/>
      <w:pgMar w:top="1134" w:right="850"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0000500000000020000"/>
  </w:font>
  <w:font w:name="Wingdings">
    <w:panose1 w:val="05000000000000000000"/>
  </w:font>
  <w:font w:name="Courier New">
    <w:panose1 w:val="02070309020205020404"/>
  </w:font>
  <w:font w:name="Symbol">
    <w:panose1 w:val="05010000000000000000"/>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A118DC"/>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
    <w:nsid w:val="440AD666"/>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36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36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360" w:left="6469"/>
      </w:pPr>
      <w:rPr/>
      <w:start w:val="1"/>
      <w:suff w:val="tab"/>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nl-NL"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6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6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6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6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6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6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6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6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6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6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6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6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6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6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6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6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6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6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6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6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6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6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6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6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6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6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6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6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6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6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6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6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6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6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6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6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6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6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6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6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6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6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6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6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6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6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6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66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3">
    <w:name w:val="List Table 7 Colorful - Accent 3"/>
    <w:basedOn w:val="66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4">
    <w:name w:val="List Table 7 Colorful - Accent 4"/>
    <w:basedOn w:val="66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66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6">
    <w:name w:val="List Table 7 Colorful - Accent 6"/>
    <w:basedOn w:val="66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6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6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6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6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6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6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6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6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664"/>
    <w:next w:val="664"/>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664"/>
    <w:next w:val="664"/>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664"/>
    <w:next w:val="664"/>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664"/>
    <w:next w:val="664"/>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64"/>
    <w:next w:val="664"/>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64"/>
    <w:next w:val="664"/>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64"/>
    <w:next w:val="664"/>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64"/>
    <w:next w:val="664"/>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64"/>
    <w:next w:val="664"/>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character" w:styleId="150">
    <w:name w:val="Heading 1 Char"/>
    <w:basedOn w:val="148"/>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142"/>
    <w:uiPriority w:val="9"/>
    <w:pPr>
      <w:pBdr/>
      <w:spacing/>
      <w:ind/>
    </w:pPr>
    <w:rPr>
      <w:rFonts w:ascii="Arial" w:hAnsi="Arial" w:eastAsia="Arial" w:cs="Arial"/>
      <w:i/>
      <w:iCs/>
      <w:color w:val="0f4761" w:themeColor="accent1" w:themeShade="BF"/>
    </w:rPr>
  </w:style>
  <w:style w:type="character" w:styleId="154">
    <w:name w:val="Heading 5 Char"/>
    <w:basedOn w:val="148"/>
    <w:link w:val="143"/>
    <w:uiPriority w:val="9"/>
    <w:pPr>
      <w:pBdr/>
      <w:spacing/>
      <w:ind/>
    </w:pPr>
    <w:rPr>
      <w:rFonts w:ascii="Arial" w:hAnsi="Arial" w:eastAsia="Arial" w:cs="Arial"/>
      <w:color w:val="0f4761" w:themeColor="accent1" w:themeShade="BF"/>
    </w:rPr>
  </w:style>
  <w:style w:type="character" w:styleId="155">
    <w:name w:val="Heading 6 Char"/>
    <w:basedOn w:val="148"/>
    <w:link w:val="144"/>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paragraph" w:styleId="159">
    <w:name w:val="Title"/>
    <w:basedOn w:val="664"/>
    <w:next w:val="664"/>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148"/>
    <w:link w:val="159"/>
    <w:uiPriority w:val="10"/>
    <w:pPr>
      <w:pBdr/>
      <w:spacing/>
      <w:ind/>
    </w:pPr>
    <w:rPr>
      <w:rFonts w:ascii="Arial" w:hAnsi="Arial" w:eastAsia="Arial" w:cs="Arial"/>
      <w:spacing w:val="-10"/>
      <w:sz w:val="56"/>
      <w:szCs w:val="56"/>
    </w:rPr>
  </w:style>
  <w:style w:type="paragraph" w:styleId="161">
    <w:name w:val="Subtitle"/>
    <w:basedOn w:val="664"/>
    <w:next w:val="664"/>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664"/>
    <w:next w:val="664"/>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664"/>
    <w:next w:val="664"/>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3">
    <w:name w:val="Strong"/>
    <w:basedOn w:val="148"/>
    <w:uiPriority w:val="22"/>
    <w:qFormat/>
    <w:pPr>
      <w:pBdr/>
      <w:spacing/>
      <w:ind/>
    </w:pPr>
    <w:rPr>
      <w:b/>
      <w:b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664"/>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664"/>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664"/>
    <w:next w:val="664"/>
    <w:uiPriority w:val="35"/>
    <w:unhideWhenUsed/>
    <w:qFormat/>
    <w:pPr>
      <w:pBdr/>
      <w:spacing w:after="200" w:line="240" w:lineRule="auto"/>
      <w:ind/>
    </w:pPr>
    <w:rPr>
      <w:i/>
      <w:iCs/>
      <w:color w:val="0e2841" w:themeColor="text2"/>
      <w:sz w:val="18"/>
      <w:szCs w:val="18"/>
    </w:rPr>
  </w:style>
  <w:style w:type="paragraph" w:styleId="181">
    <w:name w:val="footnote text"/>
    <w:basedOn w:val="664"/>
    <w:link w:val="182"/>
    <w:uiPriority w:val="99"/>
    <w:semiHidden/>
    <w:unhideWhenUsed/>
    <w:pPr>
      <w:pBdr/>
      <w:spacing w:after="0" w:line="240" w:lineRule="auto"/>
      <w:ind/>
    </w:pPr>
    <w:rPr>
      <w:sz w:val="20"/>
      <w:szCs w:val="20"/>
    </w:rPr>
  </w:style>
  <w:style w:type="character" w:styleId="182">
    <w:name w:val="Footnote Text Char"/>
    <w:basedOn w:val="148"/>
    <w:link w:val="181"/>
    <w:uiPriority w:val="99"/>
    <w:semiHidden/>
    <w:pPr>
      <w:pBdr/>
      <w:spacing/>
      <w:ind/>
    </w:pPr>
    <w:rPr>
      <w:sz w:val="20"/>
      <w:szCs w:val="20"/>
    </w:rPr>
  </w:style>
  <w:style w:type="character" w:styleId="183">
    <w:name w:val="footnote reference"/>
    <w:basedOn w:val="148"/>
    <w:uiPriority w:val="99"/>
    <w:semiHidden/>
    <w:unhideWhenUsed/>
    <w:pPr>
      <w:pBdr/>
      <w:spacing/>
      <w:ind/>
    </w:pPr>
    <w:rPr>
      <w:vertAlign w:val="superscript"/>
    </w:rPr>
  </w:style>
  <w:style w:type="paragraph" w:styleId="184">
    <w:name w:val="endnote text"/>
    <w:basedOn w:val="664"/>
    <w:link w:val="185"/>
    <w:uiPriority w:val="99"/>
    <w:semiHidden/>
    <w:unhideWhenUsed/>
    <w:pPr>
      <w:pBdr/>
      <w:spacing w:after="0" w:line="240" w:lineRule="auto"/>
      <w:ind/>
    </w:pPr>
    <w:rPr>
      <w:sz w:val="20"/>
      <w:szCs w:val="20"/>
    </w:rPr>
  </w:style>
  <w:style w:type="character" w:styleId="185">
    <w:name w:val="Endnote Text Char"/>
    <w:basedOn w:val="148"/>
    <w:link w:val="184"/>
    <w:uiPriority w:val="99"/>
    <w:semiHidden/>
    <w:pPr>
      <w:pBdr/>
      <w:spacing/>
      <w:ind/>
    </w:pPr>
    <w:rPr>
      <w:sz w:val="20"/>
      <w:szCs w:val="20"/>
    </w:rPr>
  </w:style>
  <w:style w:type="character" w:styleId="186">
    <w:name w:val="endnote reference"/>
    <w:basedOn w:val="148"/>
    <w:uiPriority w:val="99"/>
    <w:semiHidden/>
    <w:unhideWhenUsed/>
    <w:pPr>
      <w:pBdr/>
      <w:spacing/>
      <w:ind/>
    </w:pPr>
    <w:rPr>
      <w:vertAlign w:val="superscript"/>
    </w:rPr>
  </w:style>
  <w:style w:type="character" w:styleId="187">
    <w:name w:val="Hyperlink"/>
    <w:basedOn w:val="148"/>
    <w:uiPriority w:val="99"/>
    <w:unhideWhenUsed/>
    <w:pPr>
      <w:pBdr/>
      <w:spacing/>
      <w:ind/>
    </w:pPr>
    <w:rPr>
      <w:color w:val="0563c1" w:themeColor="hyperlink"/>
      <w:u w:val="single"/>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664"/>
    <w:next w:val="664"/>
    <w:uiPriority w:val="39"/>
    <w:unhideWhenUsed/>
    <w:pPr>
      <w:pBdr/>
      <w:spacing w:after="100"/>
      <w:ind/>
    </w:pPr>
  </w:style>
  <w:style w:type="paragraph" w:styleId="190">
    <w:name w:val="toc 2"/>
    <w:basedOn w:val="664"/>
    <w:next w:val="664"/>
    <w:uiPriority w:val="39"/>
    <w:unhideWhenUsed/>
    <w:pPr>
      <w:pBdr/>
      <w:spacing w:after="100"/>
      <w:ind w:left="220"/>
    </w:pPr>
  </w:style>
  <w:style w:type="paragraph" w:styleId="191">
    <w:name w:val="toc 3"/>
    <w:basedOn w:val="664"/>
    <w:next w:val="664"/>
    <w:uiPriority w:val="39"/>
    <w:unhideWhenUsed/>
    <w:pPr>
      <w:pBdr/>
      <w:spacing w:after="100"/>
      <w:ind w:left="440"/>
    </w:pPr>
  </w:style>
  <w:style w:type="paragraph" w:styleId="192">
    <w:name w:val="toc 4"/>
    <w:basedOn w:val="664"/>
    <w:next w:val="664"/>
    <w:uiPriority w:val="39"/>
    <w:unhideWhenUsed/>
    <w:pPr>
      <w:pBdr/>
      <w:spacing w:after="100"/>
      <w:ind w:left="660"/>
    </w:pPr>
  </w:style>
  <w:style w:type="paragraph" w:styleId="193">
    <w:name w:val="toc 5"/>
    <w:basedOn w:val="664"/>
    <w:next w:val="664"/>
    <w:uiPriority w:val="39"/>
    <w:unhideWhenUsed/>
    <w:pPr>
      <w:pBdr/>
      <w:spacing w:after="100"/>
      <w:ind w:left="880"/>
    </w:pPr>
  </w:style>
  <w:style w:type="paragraph" w:styleId="194">
    <w:name w:val="toc 6"/>
    <w:basedOn w:val="664"/>
    <w:next w:val="664"/>
    <w:uiPriority w:val="39"/>
    <w:unhideWhenUsed/>
    <w:pPr>
      <w:pBdr/>
      <w:spacing w:after="100"/>
      <w:ind w:left="1100"/>
    </w:pPr>
  </w:style>
  <w:style w:type="paragraph" w:styleId="195">
    <w:name w:val="toc 7"/>
    <w:basedOn w:val="664"/>
    <w:next w:val="664"/>
    <w:uiPriority w:val="39"/>
    <w:unhideWhenUsed/>
    <w:pPr>
      <w:pBdr/>
      <w:spacing w:after="100"/>
      <w:ind w:left="1320"/>
    </w:pPr>
  </w:style>
  <w:style w:type="paragraph" w:styleId="196">
    <w:name w:val="toc 8"/>
    <w:basedOn w:val="664"/>
    <w:next w:val="664"/>
    <w:uiPriority w:val="39"/>
    <w:unhideWhenUsed/>
    <w:pPr>
      <w:pBdr/>
      <w:spacing w:after="100"/>
      <w:ind w:left="1540"/>
    </w:pPr>
  </w:style>
  <w:style w:type="paragraph" w:styleId="197">
    <w:name w:val="toc 9"/>
    <w:basedOn w:val="664"/>
    <w:next w:val="664"/>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64"/>
    <w:next w:val="664"/>
    <w:uiPriority w:val="99"/>
    <w:unhideWhenUsed/>
    <w:pPr>
      <w:pBdr/>
      <w:spacing w:after="0" w:afterAutospacing="0"/>
      <w:ind/>
    </w:pPr>
  </w:style>
  <w:style w:type="paragraph" w:styleId="664" w:default="1">
    <w:name w:val="Normal"/>
    <w:qFormat/>
    <w:pPr>
      <w:pBdr/>
      <w:spacing/>
      <w:ind/>
    </w:pPr>
  </w:style>
  <w:style w:type="table" w:styleId="66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6" w:default="1">
    <w:name w:val="No List"/>
    <w:uiPriority w:val="99"/>
    <w:semiHidden/>
    <w:unhideWhenUsed/>
    <w:pPr>
      <w:pBdr/>
      <w:spacing/>
      <w:ind/>
    </w:pPr>
  </w:style>
  <w:style w:type="paragraph" w:styleId="667">
    <w:name w:val="No Spacing"/>
    <w:basedOn w:val="664"/>
    <w:uiPriority w:val="1"/>
    <w:qFormat/>
    <w:pPr>
      <w:pBdr/>
      <w:spacing w:after="0" w:line="240" w:lineRule="auto"/>
      <w:ind/>
    </w:pPr>
  </w:style>
  <w:style w:type="paragraph" w:styleId="668">
    <w:name w:val="List Paragraph"/>
    <w:basedOn w:val="664"/>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yperlink" Target="https://www.iso.org/standard/83117.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ONLYOFFICE/9.0.4.50</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2025-09-01T08:47:49Z</dcterms:modified>
</cp:coreProperties>
</file>